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86 vom 27. Februar 2023</w:t>
      </w:r>
    </w:p>
    <w:p>
      <w:r>
        <w:t>VS Kantonsgericht, 2023-02-27, FR</w:t>
      </w:r>
    </w:p>
    <w:p>
      <w:r>
        <w:rPr>
          <w:b/>
        </w:rPr>
        <w:t xml:space="preserve">Quelle: </w:t>
      </w:r>
      <w:r>
        <w:t>https://mcp.opencaselaw.ch/entscheid/vs_gerichte_S2 21 86</w:t>
      </w:r>
    </w:p>
    <w:p>
      <w:r>
        <w:t>FR: VS_GERICHTE S2 21 86 du 27 février 2023</w:t>
      </w:r>
    </w:p>
    <w:p>
      <w:r>
        <w:t>IT: VS_GERICHTE S2 21 86 del 27 febbraio 2023</w:t>
      </w:r>
    </w:p>
    <w:p>
      <w:pPr>
        <w:pStyle w:val="Heading2"/>
      </w:pPr>
      <w:r>
        <w:t>Regeste</w:t>
      </w:r>
    </w:p>
    <w:p>
      <w:r>
        <w:t>S2 21 86 JUGEMENT DU 27 FÉVRIER 2023 Tribunal cantonal du Valais Cour des assurances sociales Composition : Candido Prada, président ; Jean-Bernard Fournier et Christophe Joris, juges ; Garance Klay, greffière en la cause X _________, 1897 Bouveret, recourante, représentée par Maître Marie Mouther, avocate, 1870 Monthey 1 contre EASY SANA ASSURANCE MALADIE SA, 1919 Martigny, intimée (art. 25 et 32 LAMal ; demande de prise en charge d’une liposuccion pour le traitement d’un lipoedème)</w:t>
      </w:r>
    </w:p>
    <w:p>
      <w:pPr>
        <w:pStyle w:val="Heading2"/>
      </w:pPr>
      <w:r>
        <w:t>Erwägungen</w:t>
      </w:r>
    </w:p>
    <w:p>
      <w:r>
        <w:rPr>
          <w:b/>
        </w:rPr>
        <w:t>E. 1</w:t>
      </w:r>
    </w:p>
    <w:p>
      <w:r>
        <w:t>Selon l'article 1 alinéa 1 de la loi fédérale sur l'assurance-maladie (LAMal ; RS 832.10), les dispositions de la loi fédérale du 6 octobre 2000 sur la partie générale du droit des assurances sociales (LPGA ; RS 830.1) s'appliquent à l'assurance-maladie, à moins que la LAMal n'y déroge expressément. Posté le 30 août 2021, le présent recours à l'encontre de la décision sur opposition du</w:t>
      </w:r>
    </w:p>
    <w:p>
      <w:r>
        <w:rPr>
          <w:b/>
        </w:rPr>
        <w:t>E. 2</w:t>
      </w:r>
    </w:p>
    <w:p>
      <w:r>
        <w:t>Le litige porte sur le droit de la recourante à la prise en charge des frais de traitement et de séjour hospitalier relatifs à l’intervention médicale subie au CHUV en date du 15 juillet 2020, par 10 474 fr. 25 (séjour du 15 au 20 juillet 2020).</w:t>
      </w:r>
    </w:p>
    <w:p>
      <w:r>
        <w:rPr>
          <w:b/>
        </w:rPr>
        <w:t>E. 2.1</w:t>
      </w:r>
    </w:p>
    <w:p>
      <w:r>
        <w:t>L’assurance-maladie obligatoire des soins prend en charge les coûts des prestations qui servent à diagnostiquer ou à traiter une maladie et ses séquelles (art. 25 al. 1 LAMal). Les prestations mentionnées aux articles 25 à 31 LAMal doivent être efficaces, appropriées et économiques (art. 32 al. 1 phr. 1 LAMal). Est réputée maladie toute atteinte à la santé physique, mentale ou psychique qui n’est pas due à un accident et qui exige un examen ou un traitement médical ou provoque une incapacité de travail (art. 3 al. 1 LPGA).</w:t>
      </w:r>
    </w:p>
    <w:p>
      <w:r>
        <w:rPr>
          <w:b/>
        </w:rPr>
        <w:t>E. 2.2</w:t>
      </w:r>
    </w:p>
    <w:p>
      <w:r>
        <w:t>Selon l’article 33 alinéa 1 LAMal, le Conseil fédéral peut désigner les prestations fournies par un médecin ou un chiropraticien, dont les coûts ne sont pas pris en charge par l’assurance obligatoire des soins ou le sont à certaines conditions (liste "négative"). La liste "négative" est exhaustive et considérée comme complète jusqu’à preuve du contraire. En présence de prestations fournies par un médecin (ou un chiropraticien), il convient donc d’appliquer la présomption légale que le traitement répond aux exigences de la loi quant à son efficacité, son caractère approprié et économique (ATF 145 V 170 consid. 2.2, 129 V 167 consid. 3.2). Si, dans un cas concret, un assureur-maladie prétend qu'un traitement ne répond pas aux conditions d’efficacité, d’adéquation et d’économicité requises (art. 32 al. 1 LAMal), il doit clarifier la situation en vertu du principe inquisitoire (par exemple, en sollicitant une expertise; ATF 129 V 167 consid. 3.2 et 5).</w:t>
      </w:r>
    </w:p>
    <w:p>
      <w:r>
        <w:t>- 8 - La question de savoir si une intervention remplit les critères d’efficacité, d’adéquation et d’économicité, doit être examinée ex ante, en fonction des connaissances au moment de la prescription de la thérapie (Eugster, Jurisprudence du Tribunal fédéral relative au droit des assurances sociales, LAMal, 2ème éd., Zurich 2018, art. 32, ch. marg. 1).</w:t>
      </w:r>
    </w:p>
    <w:p>
      <w:r>
        <w:rPr>
          <w:b/>
        </w:rPr>
        <w:t>E. 2.3</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consid. 3.2).</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consid. 2.2.2, 125 V 351 consid. 3a). 3.1 Pour motiver son refus, la caisse intimée – qui n’a pas contesté le diagnostic, ni son caractère maladif - s’est fondée successivement sur les avis de ses médecins-conseils, les Drs F _________ et E _________, tous deux spécialistes en médecine interne générale. En particulier, dans son avis du 17 mai 2021, le Dr E _________ a exprimé : « l’efficacité à long terme de cette méthode n’est pas prouvée ». Il n’a toutefois pas joint d’avis spécialisé ou d’étude scientifique étayant son propos. Il s’est référé à des données non médicales mais juridiques en citant un arrêt du Tribunal cantonal de Zurich du 20 février 2020 (rem. la référence citée ne correspond pas) et l’arrêt 9C_508/2020 du Tribunal fédéral du 19 novembre 2020. Pour sa part, la recourante se prévaut des avis des praticiens la suivant pour sa pathologie, lesquels sont pour la plupart des spécialistes (Dr A _________, spécialiste en chirurgie plastique, reconstructive et esthétique FMH, Prof. B _________, Cheffe du Département cœur-vaisseau et du service angiologie au CHUV, Dresse C _________, médecin assistante auprès du Département de l’appareil locomoteur du CHUV, service du Dr D _________, et ce dernier, chef du service de chirurgie plastique et de la main au département de l’appareil locomoteur du CHUV). La Prof. B _________ a cité une</w:t>
      </w:r>
    </w:p>
    <w:p>
      <w:r>
        <w:t>- 9 - série d’articles médicaux sur lesquels le médecin-conseil de l’assureur n’a pas pris position. Le Dr D _________ a par ailleurs attesté, dans son courrier du 19 février 2021, n’avoir jamais eu besoin de reprendre chirurgicalement des patientes opérées de lipoedème. La recourante a en particulier souligné que, dans son cas, toutes les autres options thérapeutiques avaient été épuisées dans son cas, sans succès, ce qui a été confirmé par ses médecins-traitants. Elle a ajouté dans sa réplique que les suites de son intervention avaient été couronnées de succès dans la mesure où, quinze mois après son intervention, elle ne ressentait plus ses anciennes douleurs, n’avait plus d’angoisses diffuses, marchait correctement ; elle se sentait bien, ce qui contribuait à son sens à attester l’efficacité du traitement prodigué dans sa situation. La recourante a invoqué par ailleurs le fait que, depuis le 1er juillet 2021, le Département fédéral de l’intérieur (DFI) a introduit à titre provisoire, pour une durée d’évaluation courant du 1er juillet 2021 au 31 décembre 2026 (recte 2025), la prise en charge obligatoire de la liposuccion pour les traitements des douleurs en cas de lipoedème, ce qui corrobore l’évolution de la reconnaissance du traitement litigieux dans certains cas répondant aux conditions posées. L’intimée maintient néanmoins que l’efficacité de l’intervention litigieuse n’est pas prouvée et souligne au demeurant qu’elle a eu lieu avant l’entrée en vigueur de la modification de l’OPAS, excluant de ce fait son application. 3.2 La Cour constate que tous les avis médicaux produits par la recourante attestaient la présence d’une maladie sous forme d’un lipoedème aux membres inférieurs, remontant à la puberté et s’étant péjoré depuis l’âge de 30 ans, induisant des douleurs quotidiennes importantes, avec paresthésies, empêchant la patiente de mener une vie normale ; il s’ensuivait une souffrance psychologique progressive et une diminution de sa qualité de vie. Par ailleurs, il a été admis par tous les praticiens, ainsi que par l’intimée, que cette maladie n’avait pas pu être traitée avec succès malgré toutes les mesures (sports, hygiène de vie) et traitements conservateurs mis en œuvre depuis lors (drainage lymphatique, aquagym, collants de contention ainsi qu’un traitement d’épreuve par Daflon). Tous les avis médicaux spécialisés émis par les médecins traitants, étayés par de la doctrine médicale produite par ces derniers, ont par ailleurs relevé l’efficacité du traitement envisagé dans un cas tel que celui de la recourante. Pour sa part, le médecin-conseil de l’intimée, se référant à des jurisprudences (zurichoise et fédérale), a mentionné qu’une liposuccion n’était pas un traitement efficace</w:t>
      </w:r>
    </w:p>
    <w:p>
      <w:r>
        <w:t>- 10 - dans le cas d’espèce ; il n’a toutefois pas produit le moindre avis médical spécialisé ou d’étude scientifique étayant son propos et n’a pas pris position sur la doctrine médicale produite par les praticiens de l’assurée ; par ailleurs, bien qu’ayant admis que toutes les mesures conservatrices possibles avaient été épuisées sans succès, il n’a proposé aucune alternative à l’intervention requise ; il n’a notamment pas démontré dans quelle mesure la poursuite des traitements conservateurs antérieurs allait pouvoir davantage soulager la recourante que l’intervention litigieuse. 3.3 Aucun élément au dossier ne permet ici de douter que les douleurs résultent des lipœdèmes ; par ailleurs, bien que non clairement précisées et investiguées, des conséquences psychiques ont par ailleurs été évoquées (l’assurée a parlé « d’angoisses diffuses »). En toute hypothèse, compte tenu des douleurs des lipoedèmes unanimement constatées par les praticiens, il faut donc leur reconnaître le caractère de maladie (art. 25 al. 1 LAMal en relation avec l’art. 3 al. 1 LPGA), ce qui n’a du reste pas été mis en doute par l’intimée. Se pose dès lors seulement la question de savoir si l'intervention du 15 juillet 2020 était une prestation efficace, appropriée et économique au sens de l'article 32 LAMal. 4.1 Conformément à l'article 33 alinéa 5 LAMal, le Conseil fédéral a délégué les compétences mentionnées à l’article 33 alinéas 1 à 3 LAMal au Département fédéral de l'intérieur (DFI; voir art. 33 de l'ordonnance fédérale du 27 juin 1995 sur l'assurance- maladie [OAMal, RS 832.102]; ATF 128 V 159 consid. 3a). Le DFI a fait usage de cette délégation de compétence en arrêtant l’ordonnance fédérale du 29 septembre 1995 sur les prestations dans l’assurance obligatoire des soins en cas de maladie (OPAS, RS 832.112.31). L'annexe 1 de l'OPAS désigne ainsi les prestations qui ont été examinées par la commission compétente selon l'article 33 lettre a et c OAMal, et dont les coûts sont pris en charge par l'assurance obligatoire des soins, ne sont pris en charge qu'à certaines conditions ou ne sont pas pris en charge (art. 1 OPAS). La liposuccion pour le traitement des douleurs en cas de lipœdème y figure depuis le 1er juillet 2021 (ch. 1.1), cette mesure étant en cours d'évaluation jusqu'au 31 décembre 2025. Certes, comme l'a relevé l'intimée, la cause doit être tranchée à l'aune de la règlementation en vigueur lors de la survenance des faits juridiquement déterminants, selon les principes du droit intertemporel (ATF 136 V 24 consid. 4.3 et 130 V 445 consid. 1.2.1), faits qui sont en l'occurrence antérieurs au 1er juillet 2021 puisque les demandes de prise en charge pour d’intervention ont été formulées par les médecins entre le 21 mars 2019 et le 29 janvier 2020 et que l’opération litigieuse a eu lieu en juillet 2020</w:t>
      </w:r>
    </w:p>
    <w:p>
      <w:r>
        <w:t>- 11 - 4.2 Une prestation médicale est considérée comme efficace au sens de l'article 32 alinéa 1 LAMal, si elle peut objectivement conduire au succès du traitement de la maladie. En d’autres termes, elle doit être objectivement propre à apporter le bénéfice diagnostique, thérapeutique ou en termes de soins visé par la mesure, ou encore avoir une influence favorable sur l'évolution de la maladie. L'efficacité qualifie le lien de causalité entre une mesure médicale et ses effets (succès médical; ATF 145 V 116 consid. 3.2.1, 133 V 115 consid. 3.1, 130 V 299 consid. 6.1). L'efficacité (et l'adéquation) d'un traitement s'apprécie au regard de l'avantage visé dans chaque cas individuel (ATF 143 V 95 consid. 3.1). D'après l'article 32 alinéa 1 phrase 2 LAMal, l'efficacité doit être démontrée selon des méthodes scientifiques. Tel est le cas si le traitement envisagé est considéré par une grande partie des chercheurs et des praticiens de la science médicale comme étant adéquat, sur la base des résultats, de l'expérience et des succès de la thérapie en question; à cet égard, il y a lieu en règle générale de se fonder sur des études scientifiques à long terme effectuées selon des directives internationalement reconnues. S'agissant de la médecine classique, l'efficacité d'une mesure thérapeutique doit être établie selon les critères et les méthodes scientifiques de la médecine traditionnelle, c'est pourquoi la notion de l'efficacité démontrée selon des méthodes scientifiques correspond ici à celle de la reconnaissance scientifique (ATF 133 V 115 consid. 3.1 et 3.2.1, 125 V 21 consid. 5a). On ne peut déduire du fait que le traitement vise en principe l'élimination aussi complète que possible de l'atteinte à la santé que les traitements curatifs s'avèreraient seuls efficaces. L'efficacité d'un traitement donné ne peut dès lors être niée au seul motif que celui-ci ne tend pas à lutter contre les causes de la maladie, mais seulement à en traiter les symptômes (ATF 143 V 95 consid. 3.1). 4.3 Se pose ensuite la question de savoir si le traitement était approprié. Le caractère approprié d'une prestation suppose qu'elle soit efficace. La question du caractère approprié de la prestation s’apprécie en fonction du bénéfice diagnostique ou thérapeutique de l’application dans le cas particulier, en tenant compte des risques qui y sont liés au regard du but thérapeutique visé par le traitement, à savoir la suppression la plus complète possible de l’atteinte à la santé somatique ou psychique (ATF 145 V 116 consid. 3.2.2, 137 V 295 consid. 6.2, 130 V 299 consid. 6.1). La question du caractère approprié d'une prestation relève dès lors en principe de critères médicaux et coïncide avec l'indication médicale. Lorsque l'indication médicale d'un traitement efficace est clairement établie, la prestation est considérée comme appropriée. A l'inverse, des mesures thérapeutiques ou diagnostiques médicalement non indiquées sont en règle</w:t>
      </w:r>
    </w:p>
    <w:p>
      <w:r>
        <w:t>- 12 - générale inappropriées (ATF 139 V 135 consid. 4.4.2, 130 V 532 consid. 2.2 ; SVR 2001 KV n° 21 consid. 2c). 4.4 Ces questions ont été largement développées récemment dans un arrêt 9C_41/2022 du 8 septembre 2022 (cf. en particulier le consid. 5.3). Le Tribunal fédéral a alors été amené à trancher dans un litige posant des questions similaires à la présente cause. Il a posé que dans une telle situation juridique, il faudrait renvoyer l'affaire à la caisse- maladie afin qu'elle demande une expertise spécialisée sur la question de savoir si la liposuccion pratiquée chez son assurée pour le traitement du lipœdème remplit la triade de critères de l'article 32 alinéa 1 LAMal. Le Tribunal fédéral a néanmoins constaté que la caisse ne pourrait toutefois pas réussir à apporter cette preuve en ce qui concernait l'efficacité et l'adéquation, car il fallait partir du principe qu'une inscription (même provisoirement limitée et assortie de la mention "en cours d'évaluation") en tant que prestation obligatoire dans l'annexe 1 OPAS au 1er juillet 2021 n'aurait pas eu lieu si l'inefficacité ou l'inadéquation avait déjà été constatée en 2019 selon l'état des connaissances déterminant pour l'appréciation du cas d'espèce (cf. arrêt 9C_41/2022, op.cit., consid. 3.1). Il se pouvait même que seule l'étude multicentrique en cours en Allemagne, citée par l'OFSP dans son commentaire sur les modifications correspondantes de l'annexe 1 de l'OPAS du 8 juin 2021 au 1er juillet 2021 comme motif de l'admission temporaire et qui, selon l'office fédéral, devait fournir les preuves à moyen terme de l'efficacité et de l'adéquation de la liposuccion, finisse par apporter la clarté nécessaire (sur la durée de succès en tant que facteur d'efficacité essentiel : ATF 128 V 159 consid. 5a ; arrêt 9C_82/2021 du 9 septembre 2021 consid. 4.2, in : SVR 2022 KV n° 5 p. 31). Dans ces circonstances particulières, le Tribunal fédéral a retenu qu’il n’y avait pas de preuve pour l'année 2019 en ce qui concernait les conditions d'efficacité et d'adéquation de la liposuccion effectuée en cas de lipœdème, ce qui jouait en faveur de l’assurée. Par identité de motifs avec ceux prévalant dans l’arrêt du 8 septembre 2022 susmentionné, la Cour de céans doit retenir que les critères d’efficacité et du caractère approprié devaient être reconnus en l’occurrence.</w:t>
      </w:r>
    </w:p>
    <w:p>
      <w:r>
        <w:rPr>
          <w:b/>
        </w:rPr>
        <w:t>E. 5</w:t>
      </w:r>
    </w:p>
    <w:p>
      <w:r>
        <w:t>Reste à examiner si le traitement satisfait aussi à la condition d'économicité. Sur ce point, il se justifie de renvoyer l'affaire à l’intimée, car celle-ci n'a pas fait de constatations factuelles contraignantes à cet égard mais s’est limitée à déclarer ne pas admettre la réalisation de cette condition, sans autre développement (cf. sa duplique du 15 décembre 2021) ; elle a tout au plus déclaré que la recourante pouvait continuer à</w:t>
      </w:r>
    </w:p>
    <w:p>
      <w:r>
        <w:t>- 13 - bénéficier de soins purement conservateurs. La question de l’économicité doit dès lors faire l’objet d’une instruction afin d’établir de manière claire et motivée si la liposuccion demandée en cas de lipœdème est majoritairement rentable ou non. Si l'intervention s'avérait probablement économique, ou en l'absence de preuve, l'obligation de prise en charge de l'intimée devra être reconnue par cette dernière (cf. l’arrêt 9C_41/2022, op.cit., consid. 5.4).</w:t>
      </w:r>
    </w:p>
    <w:p>
      <w:r>
        <w:rPr>
          <w:b/>
        </w:rPr>
        <w:t>E. 6</w:t>
      </w:r>
    </w:p>
    <w:p>
      <w:r>
        <w:t>Il résulte de ce qui précède que le recours du 30 août 2021 doit donc partiellement être admis, en ce sens que la décision sur opposition du 2 août 2021 est annulée et le dossier renvoyé à l’intimée pour examen de la condition de l’économicité.</w:t>
      </w:r>
    </w:p>
    <w:p>
      <w:r>
        <w:rPr>
          <w:b/>
        </w:rPr>
        <w:t>E. 7</w:t>
      </w:r>
    </w:p>
    <w:p>
      <w:r>
        <w:t>Conformément à l'article 1 alinéa 1 LAMal, en relation avec l'article 61 lettre fbis LPGA, la procédure n'est pas soumise à des frais judiciaires, la LAMal ne prévoyant pas le prélèvement de tels frais.</w:t>
      </w:r>
    </w:p>
    <w:p>
      <w:r>
        <w:rPr>
          <w:b/>
        </w:rPr>
        <w:t>E. 8</w:t>
      </w:r>
    </w:p>
    <w:p>
      <w:r>
        <w:t>La recourante, qui obtient gain de cause dans la mesure où la décision sur opposition entreprise est annulée, a droit au remboursement de ses frais et dépens dans la mesure fixée par le tribunal, leur montant étant déterminé sans égard à la valeur litigieuse d'après l'importance et la complexité du litige. En vertu du droit cantonal réservé par l'article 61 LPGA, les dépens comprennent l'indemnité à la partie pouvant y prétendre et ses frais de conseil juridique et couvrent, en principe, les frais indispensables occasionnés par le litige. En l’occurrence, Me Mouther a produit un recours de neuf pages, une réplique ainsi qu’une série de pièces, de sorte que ses dépens sont fixés à 2000 fr., TVA et débours (200 fr.) compris (art. 61 let. g LPGA et 40 LTar).</w:t>
      </w:r>
    </w:p>
    <w:p>
      <w:r>
        <w:t>Prononce 1. Le recours est partiellement admis, en ce sens que la décision sur opposition d’Easy Sana Assurance Maladie SA du 2 août 2021 est annulée et le dossier renvoyé à Easy Sana Assurance Maladie SA pour instruction complémentaire au sens des considérants 5 et 6 et nouvelle décision. 2. Easy Sana Assurance Maladie SA versera à X _________ une indemnité de 2000 francs pour ses dépens. 3. Il n’est pas perçu de frais. Sion, le 27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